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6"/>
          <w:szCs w:val="26"/>
        </w:rPr>
      </w:pPr>
      <w:r w:rsidRPr="00BB4087">
        <w:rPr>
          <w:rFonts w:cstheme="minorHAnsi"/>
          <w:iCs/>
          <w:sz w:val="26"/>
          <w:szCs w:val="26"/>
        </w:rPr>
        <w:t xml:space="preserve">3.2.2 </w:t>
      </w:r>
      <w:r w:rsidRPr="00BB4087">
        <w:rPr>
          <w:rFonts w:cstheme="minorHAnsi"/>
          <w:b/>
          <w:bCs/>
          <w:iCs/>
          <w:sz w:val="26"/>
          <w:szCs w:val="26"/>
        </w:rPr>
        <w:t>Šablony zaměřené na inovaci a zkvalitnění výuky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6"/>
          <w:szCs w:val="26"/>
        </w:rPr>
      </w:pPr>
      <w:r w:rsidRPr="00BB4087">
        <w:rPr>
          <w:rFonts w:cstheme="minorHAnsi"/>
          <w:bCs/>
          <w:iCs/>
          <w:sz w:val="26"/>
          <w:szCs w:val="26"/>
        </w:rPr>
        <w:t>(výňatek z Přiručky pro žadatele a příjemce)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6"/>
          <w:szCs w:val="26"/>
        </w:rPr>
      </w:pP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  <w:r w:rsidRPr="00BB4087">
        <w:rPr>
          <w:rFonts w:cstheme="minorHAnsi"/>
          <w:sz w:val="26"/>
          <w:szCs w:val="26"/>
        </w:rPr>
        <w:t xml:space="preserve">Šablony zaměřené na inovaci a zkvalitnění výuky jsou tyto: </w:t>
      </w:r>
      <w:r w:rsidRPr="00BB4087">
        <w:rPr>
          <w:rFonts w:cstheme="minorHAnsi"/>
          <w:b/>
          <w:bCs/>
          <w:sz w:val="26"/>
          <w:szCs w:val="26"/>
        </w:rPr>
        <w:t>I/2, II/2, III/2, IV/2, V/2, VI/2.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>Tento popis shrnuje společné charakteristi</w:t>
      </w:r>
      <w:bookmarkStart w:id="0" w:name="_GoBack"/>
      <w:bookmarkEnd w:id="0"/>
      <w:r w:rsidRPr="00BB4087">
        <w:rPr>
          <w:rFonts w:cstheme="minorHAnsi"/>
          <w:sz w:val="26"/>
          <w:szCs w:val="26"/>
        </w:rPr>
        <w:t>ky a požadavky šablon inovace. Pro realizaci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 xml:space="preserve">projektu jsou závazné detailní popisy v šablonách, část II </w:t>
      </w:r>
      <w:proofErr w:type="gramStart"/>
      <w:r w:rsidRPr="00BB4087">
        <w:rPr>
          <w:rFonts w:cstheme="minorHAnsi"/>
          <w:sz w:val="26"/>
          <w:szCs w:val="26"/>
        </w:rPr>
        <w:t>této</w:t>
      </w:r>
      <w:proofErr w:type="gramEnd"/>
      <w:r w:rsidRPr="00BB4087">
        <w:rPr>
          <w:rFonts w:cstheme="minorHAnsi"/>
          <w:sz w:val="26"/>
          <w:szCs w:val="26"/>
        </w:rPr>
        <w:t xml:space="preserve"> Příručky.</w:t>
      </w:r>
    </w:p>
    <w:p w:rsid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b/>
          <w:bCs/>
          <w:sz w:val="26"/>
          <w:szCs w:val="26"/>
        </w:rPr>
        <w:t xml:space="preserve">Cíl: </w:t>
      </w:r>
      <w:r w:rsidRPr="00BB4087">
        <w:rPr>
          <w:rFonts w:cstheme="minorHAnsi"/>
          <w:sz w:val="26"/>
          <w:szCs w:val="26"/>
        </w:rPr>
        <w:t>inovace a zvýšení kvality výuky.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b/>
          <w:bCs/>
          <w:sz w:val="26"/>
          <w:szCs w:val="26"/>
        </w:rPr>
        <w:t xml:space="preserve">Cílová skupina: </w:t>
      </w:r>
      <w:r w:rsidRPr="00BB4087">
        <w:rPr>
          <w:rFonts w:cstheme="minorHAnsi"/>
          <w:sz w:val="26"/>
          <w:szCs w:val="26"/>
        </w:rPr>
        <w:t>žáci středních škol.</w:t>
      </w:r>
    </w:p>
    <w:p w:rsid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b/>
          <w:bCs/>
          <w:sz w:val="26"/>
          <w:szCs w:val="26"/>
        </w:rPr>
        <w:t>Dokládaný výstup: sady inovativních vzdělávacích materialů</w:t>
      </w:r>
      <w:r w:rsidRPr="00BB4087">
        <w:rPr>
          <w:rFonts w:cstheme="minorHAnsi"/>
          <w:sz w:val="26"/>
          <w:szCs w:val="26"/>
        </w:rPr>
        <w:t xml:space="preserve">, </w:t>
      </w:r>
      <w:r w:rsidRPr="00BB4087">
        <w:rPr>
          <w:rFonts w:cstheme="minorHAnsi"/>
          <w:b/>
          <w:bCs/>
          <w:sz w:val="26"/>
          <w:szCs w:val="26"/>
        </w:rPr>
        <w:t xml:space="preserve">ověřené </w:t>
      </w:r>
      <w:r w:rsidRPr="00BB4087">
        <w:rPr>
          <w:rFonts w:cstheme="minorHAnsi"/>
          <w:sz w:val="26"/>
          <w:szCs w:val="26"/>
        </w:rPr>
        <w:t>v běžné výuce</w:t>
      </w:r>
      <w:r>
        <w:rPr>
          <w:rFonts w:cstheme="minorHAnsi"/>
          <w:sz w:val="26"/>
          <w:szCs w:val="26"/>
        </w:rPr>
        <w:t xml:space="preserve"> </w:t>
      </w:r>
      <w:r w:rsidRPr="00BB4087">
        <w:rPr>
          <w:rFonts w:cstheme="minorHAnsi"/>
          <w:sz w:val="26"/>
          <w:szCs w:val="26"/>
        </w:rPr>
        <w:t xml:space="preserve">(ověření v praxi není hrazeno z projektu) a </w:t>
      </w:r>
      <w:r w:rsidRPr="00BB4087">
        <w:rPr>
          <w:rFonts w:cstheme="minorHAnsi"/>
          <w:b/>
          <w:bCs/>
          <w:sz w:val="26"/>
          <w:szCs w:val="26"/>
        </w:rPr>
        <w:t xml:space="preserve">sdílené </w:t>
      </w:r>
      <w:r w:rsidRPr="00BB4087">
        <w:rPr>
          <w:rFonts w:cstheme="minorHAnsi"/>
          <w:sz w:val="26"/>
          <w:szCs w:val="26"/>
        </w:rPr>
        <w:t>s ostatními pedagogickými pracovníky</w:t>
      </w:r>
      <w:r>
        <w:rPr>
          <w:rFonts w:cstheme="minorHAnsi"/>
          <w:sz w:val="26"/>
          <w:szCs w:val="26"/>
        </w:rPr>
        <w:t xml:space="preserve"> </w:t>
      </w:r>
      <w:r w:rsidRPr="00BB4087">
        <w:rPr>
          <w:rFonts w:cstheme="minorHAnsi"/>
          <w:sz w:val="26"/>
          <w:szCs w:val="26"/>
        </w:rPr>
        <w:t>nebo veřejně publikované.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b/>
          <w:bCs/>
          <w:sz w:val="26"/>
          <w:szCs w:val="26"/>
        </w:rPr>
        <w:t xml:space="preserve">Jedna sada </w:t>
      </w:r>
      <w:r w:rsidRPr="00BB4087">
        <w:rPr>
          <w:rFonts w:cstheme="minorHAnsi"/>
          <w:sz w:val="26"/>
          <w:szCs w:val="26"/>
        </w:rPr>
        <w:t xml:space="preserve">je ucelený soubor vzdělávacích materiálů </w:t>
      </w:r>
      <w:r w:rsidRPr="00BB4087">
        <w:rPr>
          <w:rFonts w:cstheme="minorHAnsi"/>
          <w:b/>
          <w:bCs/>
          <w:sz w:val="26"/>
          <w:szCs w:val="26"/>
        </w:rPr>
        <w:t>v jedné tematické oblasti</w:t>
      </w:r>
      <w:r w:rsidRPr="00BB4087">
        <w:rPr>
          <w:rFonts w:cstheme="minorHAnsi"/>
          <w:sz w:val="26"/>
          <w:szCs w:val="26"/>
        </w:rPr>
        <w:t>.</w:t>
      </w:r>
    </w:p>
    <w:p w:rsid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b/>
          <w:bCs/>
          <w:sz w:val="26"/>
          <w:szCs w:val="26"/>
        </w:rPr>
        <w:t xml:space="preserve">Tematická oblast </w:t>
      </w:r>
      <w:r w:rsidRPr="00BB4087">
        <w:rPr>
          <w:rFonts w:cstheme="minorHAnsi"/>
          <w:sz w:val="26"/>
          <w:szCs w:val="26"/>
        </w:rPr>
        <w:t>je ucelená část - logický celek - učiva.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>Zaměření tematické oblasti se uvádí vždy ve formuláři záznamového archu, který slouží jako</w:t>
      </w:r>
      <w:r>
        <w:rPr>
          <w:rFonts w:cstheme="minorHAnsi"/>
          <w:sz w:val="26"/>
          <w:szCs w:val="26"/>
        </w:rPr>
        <w:t xml:space="preserve"> </w:t>
      </w:r>
      <w:r w:rsidRPr="00BB4087">
        <w:rPr>
          <w:rFonts w:cstheme="minorHAnsi"/>
          <w:sz w:val="26"/>
          <w:szCs w:val="26"/>
        </w:rPr>
        <w:t>příloha monitorovací zprávy.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>Tematická oblast, ve které jsou inovativní vzdělávací materiály vytvářeny, musí být navázaná</w:t>
      </w:r>
      <w:r>
        <w:rPr>
          <w:rFonts w:cstheme="minorHAnsi"/>
          <w:sz w:val="26"/>
          <w:szCs w:val="26"/>
        </w:rPr>
        <w:t xml:space="preserve"> </w:t>
      </w:r>
      <w:r w:rsidRPr="00BB4087">
        <w:rPr>
          <w:rFonts w:cstheme="minorHAnsi"/>
          <w:sz w:val="26"/>
          <w:szCs w:val="26"/>
        </w:rPr>
        <w:t>na ŠVP. Pokud škola nemá zavedený ŠVP, postupuje se obdobně ve vazbě na platný</w:t>
      </w:r>
      <w:r>
        <w:rPr>
          <w:rFonts w:cstheme="minorHAnsi"/>
          <w:sz w:val="26"/>
          <w:szCs w:val="26"/>
        </w:rPr>
        <w:t xml:space="preserve"> </w:t>
      </w:r>
      <w:r w:rsidRPr="00BB4087">
        <w:rPr>
          <w:rFonts w:cstheme="minorHAnsi"/>
          <w:sz w:val="26"/>
          <w:szCs w:val="26"/>
        </w:rPr>
        <w:t>vzdělávací dokument školy.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>Příklady: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 xml:space="preserve">Při členění podle RVP pro SOŠ a </w:t>
      </w:r>
      <w:proofErr w:type="gramStart"/>
      <w:r w:rsidRPr="00BB4087">
        <w:rPr>
          <w:rFonts w:cstheme="minorHAnsi"/>
          <w:sz w:val="26"/>
          <w:szCs w:val="26"/>
        </w:rPr>
        <w:t>SOU může</w:t>
      </w:r>
      <w:proofErr w:type="gramEnd"/>
      <w:r w:rsidRPr="00BB4087">
        <w:rPr>
          <w:rFonts w:cstheme="minorHAnsi"/>
          <w:sz w:val="26"/>
          <w:szCs w:val="26"/>
        </w:rPr>
        <w:t xml:space="preserve"> být tematická oblast ucelenou součástí jednoho</w:t>
      </w:r>
      <w:r>
        <w:rPr>
          <w:rFonts w:cstheme="minorHAnsi"/>
          <w:sz w:val="26"/>
          <w:szCs w:val="26"/>
        </w:rPr>
        <w:t xml:space="preserve"> </w:t>
      </w:r>
      <w:r w:rsidRPr="00BB4087">
        <w:rPr>
          <w:rFonts w:cstheme="minorHAnsi"/>
          <w:sz w:val="26"/>
          <w:szCs w:val="26"/>
        </w:rPr>
        <w:t>obsahového okruhu, vyučovacího předmětu nebo modulu.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>Při členění podle RVP pro gymnázia může být tematická oblast ucelenou součástí tematického</w:t>
      </w:r>
      <w:r>
        <w:rPr>
          <w:rFonts w:cstheme="minorHAnsi"/>
          <w:sz w:val="26"/>
          <w:szCs w:val="26"/>
        </w:rPr>
        <w:t xml:space="preserve"> </w:t>
      </w:r>
      <w:r w:rsidRPr="00BB4087">
        <w:rPr>
          <w:rFonts w:cstheme="minorHAnsi"/>
          <w:sz w:val="26"/>
          <w:szCs w:val="26"/>
        </w:rPr>
        <w:t>okruhu, celku, tématu nebo vyučovacího předmětu.</w:t>
      </w:r>
    </w:p>
    <w:p w:rsid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>Tematická oblast může být i ucelená část průřezového tématu, případně může být logicky</w:t>
      </w:r>
      <w:r>
        <w:rPr>
          <w:rFonts w:cstheme="minorHAnsi"/>
          <w:sz w:val="26"/>
          <w:szCs w:val="26"/>
        </w:rPr>
        <w:t xml:space="preserve"> </w:t>
      </w:r>
      <w:r w:rsidRPr="00BB4087">
        <w:rPr>
          <w:rFonts w:cstheme="minorHAnsi"/>
          <w:sz w:val="26"/>
          <w:szCs w:val="26"/>
        </w:rPr>
        <w:t>propojena jinými kritérii, která odpovídají potřebám školy.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  <w:r w:rsidRPr="00BB4087">
        <w:rPr>
          <w:rFonts w:cstheme="minorHAnsi"/>
          <w:b/>
          <w:bCs/>
          <w:sz w:val="26"/>
          <w:szCs w:val="26"/>
        </w:rPr>
        <w:t>Kvalita vzdělávacích materiálů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>V šablonách I/2, II/2, III/2, IV/2, V/2 a VI/2 je očekávaným výstupem sada vzdělávacích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>materiálů, popsaná detailně v každé šabloně.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 xml:space="preserve">Vzdělávací materiály musí vždy </w:t>
      </w:r>
      <w:r w:rsidRPr="00BB4087">
        <w:rPr>
          <w:rFonts w:cstheme="minorHAnsi"/>
          <w:b/>
          <w:bCs/>
          <w:sz w:val="26"/>
          <w:szCs w:val="26"/>
        </w:rPr>
        <w:t xml:space="preserve">sloužit ke vzdělávání žáků. </w:t>
      </w:r>
      <w:r w:rsidRPr="00BB4087">
        <w:rPr>
          <w:rFonts w:cstheme="minorHAnsi"/>
          <w:sz w:val="26"/>
          <w:szCs w:val="26"/>
        </w:rPr>
        <w:t>Za vzdělávací materiál není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 xml:space="preserve">možné považovat pouze metodiku, učební plán, přípravu pedagogického pracovníka </w:t>
      </w:r>
      <w:proofErr w:type="gramStart"/>
      <w:r w:rsidRPr="00BB4087">
        <w:rPr>
          <w:rFonts w:cstheme="minorHAnsi"/>
          <w:sz w:val="26"/>
          <w:szCs w:val="26"/>
        </w:rPr>
        <w:t>na</w:t>
      </w:r>
      <w:proofErr w:type="gramEnd"/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>vyučovací hodinu nebo kopie stávajících textů a schémat. Proto, aby tyto materiály mohly být</w:t>
      </w:r>
      <w:r>
        <w:rPr>
          <w:rFonts w:cstheme="minorHAnsi"/>
          <w:sz w:val="26"/>
          <w:szCs w:val="26"/>
        </w:rPr>
        <w:t xml:space="preserve"> </w:t>
      </w:r>
      <w:r w:rsidRPr="00BB4087">
        <w:rPr>
          <w:rFonts w:cstheme="minorHAnsi"/>
          <w:sz w:val="26"/>
          <w:szCs w:val="26"/>
        </w:rPr>
        <w:t>uznatelné jako vzdělávací materiál, je vždy potřeba je doplnit pracovními listy, testy,</w:t>
      </w:r>
      <w:r>
        <w:rPr>
          <w:rFonts w:cstheme="minorHAnsi"/>
          <w:sz w:val="26"/>
          <w:szCs w:val="26"/>
        </w:rPr>
        <w:t xml:space="preserve"> </w:t>
      </w:r>
      <w:r w:rsidRPr="00BB4087">
        <w:rPr>
          <w:rFonts w:cstheme="minorHAnsi"/>
          <w:sz w:val="26"/>
          <w:szCs w:val="26"/>
        </w:rPr>
        <w:t>interaktivními vstupy, jinými výukovými pomůckami nebo evaluačními nástroji pro přímou</w:t>
      </w:r>
      <w:r>
        <w:rPr>
          <w:rFonts w:cstheme="minorHAnsi"/>
          <w:sz w:val="26"/>
          <w:szCs w:val="26"/>
        </w:rPr>
        <w:t xml:space="preserve"> </w:t>
      </w:r>
      <w:r w:rsidRPr="00BB4087">
        <w:rPr>
          <w:rFonts w:cstheme="minorHAnsi"/>
          <w:sz w:val="26"/>
          <w:szCs w:val="26"/>
        </w:rPr>
        <w:t>práci žáků. Za jednotlivé vzdělávací materiály v sadě se pak počítají unikátní výukové</w:t>
      </w:r>
      <w:r>
        <w:rPr>
          <w:rFonts w:cstheme="minorHAnsi"/>
          <w:sz w:val="26"/>
          <w:szCs w:val="26"/>
        </w:rPr>
        <w:t xml:space="preserve"> </w:t>
      </w:r>
      <w:r w:rsidRPr="00BB4087">
        <w:rPr>
          <w:rFonts w:cstheme="minorHAnsi"/>
          <w:sz w:val="26"/>
          <w:szCs w:val="26"/>
        </w:rPr>
        <w:t>pomůcky pro žáky. Sadu tak může tvořit např. metodika a 32 pracovních listů pro žáka.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>Vzdělávacím materiálem není ani jednotlivý snímek z prezentace v Powerpointu –</w:t>
      </w:r>
    </w:p>
    <w:p w:rsid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>za vzdělávací materiál se považuje pouze celá prezentace.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>Při přípravě a ověřování vzdělávacích materiálů je nutné dodržovat tyto zásady: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>1. Vzdělávací materiály vznikají v souladu s projektovým záměrem školy.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>2. Vzdělávací materiály vznikají jako výsledek inovované přípravy pedagogického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>pracovníka na hodinu – pedagogický pracovník používá nové zdroje informací nebo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>informace zpracovává novým způsobem.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>3. Rozsah a obsah vzdělávacích materiálů je adekvátní vzhledem k výši stanovené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>jednotkové ceny v příslušné šabloně.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>4. Příprava vzdělávacích materiálů je v souladu s autorskými právy.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>5. Vzdělávací materiály jsou unikátní pro školu, která je vytvořila, nejde o kopie nebo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>subdodávky pro více škol.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>6. Vzdělávací materiály jsou kvalitní. Při posuzování kvality vzdělávacích materiálů se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>posuzuje zejména: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>a) kontext využití – jak vzdělávací materiál odpovídá věku a vzdělávacím potřebám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>žáků a zařazení do učebního plánu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>b) využívání ověřených informací a správné citace použitých zdrojů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 xml:space="preserve">c) zkvalitnění výuky – na základě anotace k využití vzdělávacího materiálu, anebo </w:t>
      </w:r>
      <w:proofErr w:type="gramStart"/>
      <w:r w:rsidRPr="00BB4087">
        <w:rPr>
          <w:rFonts w:cstheme="minorHAnsi"/>
          <w:sz w:val="26"/>
          <w:szCs w:val="26"/>
        </w:rPr>
        <w:t>po</w:t>
      </w:r>
      <w:proofErr w:type="gramEnd"/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 xml:space="preserve">ověření v hodině by mělo být zřejmé, v čem je přínos vzdělávacího materiálu </w:t>
      </w:r>
      <w:proofErr w:type="gramStart"/>
      <w:r w:rsidRPr="00BB4087">
        <w:rPr>
          <w:rFonts w:cstheme="minorHAnsi"/>
          <w:sz w:val="26"/>
          <w:szCs w:val="26"/>
        </w:rPr>
        <w:t>ke</w:t>
      </w:r>
      <w:proofErr w:type="gramEnd"/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>zvýšení kvality výuky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>d) možnost využití vzdělávacího materiálu žákem nebo dalším učitelem – vzdělávací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>materiál by měl být návodný pro použití</w:t>
      </w:r>
    </w:p>
    <w:p w:rsidR="00BB4087" w:rsidRPr="00BB4087" w:rsidRDefault="00BB4087" w:rsidP="00BB408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>e) vzdělávací materiály slouží k dosažení výsledku, který byl stanoven v projektovém</w:t>
      </w:r>
    </w:p>
    <w:p w:rsidR="006114C3" w:rsidRPr="00BB4087" w:rsidRDefault="00BB4087" w:rsidP="00BB4087">
      <w:pPr>
        <w:rPr>
          <w:rFonts w:cstheme="minorHAnsi"/>
          <w:sz w:val="26"/>
          <w:szCs w:val="26"/>
        </w:rPr>
      </w:pPr>
      <w:r w:rsidRPr="00BB4087">
        <w:rPr>
          <w:rFonts w:cstheme="minorHAnsi"/>
          <w:sz w:val="26"/>
          <w:szCs w:val="26"/>
        </w:rPr>
        <w:t>záměru.</w:t>
      </w:r>
    </w:p>
    <w:sectPr w:rsidR="006114C3" w:rsidRPr="00BB4087" w:rsidSect="006E73E7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87"/>
    <w:rsid w:val="004F0645"/>
    <w:rsid w:val="006E73E7"/>
    <w:rsid w:val="00752296"/>
    <w:rsid w:val="00BB4087"/>
    <w:rsid w:val="00DA1FF7"/>
    <w:rsid w:val="00E63D54"/>
    <w:rsid w:val="00FD5FB4"/>
    <w:rsid w:val="00F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63817-0EFD-42D1-987E-9C6CA26A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konvalinkav7</dc:creator>
  <cp:lastModifiedBy>konvalinkav7</cp:lastModifiedBy>
  <cp:revision>2</cp:revision>
  <dcterms:created xsi:type="dcterms:W3CDTF">2013-01-15T12:35:00Z</dcterms:created>
  <dcterms:modified xsi:type="dcterms:W3CDTF">2013-01-15T12:35:00Z</dcterms:modified>
</cp:coreProperties>
</file>